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мая 2015 г. N 07-04-05/09-319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НАПРАВЛЕНИИ ОБЗОРА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РЕШЕНИЙ КОНТРОЛЬНЫХ ОРГАНОВ В СФЕРЕ ЗАКУПОК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поступающими вопросами по применению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а также в рамках реализации основного мероприятия на 2015 год по реализации Стратегической карты Казначейства России "Проведение мониторинга в соответствии с планом мониторинга правоприменения в Российской Федерации на 2015</w:t>
      </w:r>
      <w:proofErr w:type="gramEnd"/>
      <w:r>
        <w:rPr>
          <w:rFonts w:ascii="Calibri" w:hAnsi="Calibri" w:cs="Calibri"/>
        </w:rPr>
        <w:t xml:space="preserve"> год, включая развитие Информационной правовой базы "Правовые акты Федерального казначейства" (ИПБ ПАФК) и прикладного программного обеспечения "Федеральное казначейство. Аналитический учет и ведение судебной работы" Федеральное казначейство направляет для сведения и учета в работе </w:t>
      </w:r>
      <w:hyperlink w:anchor="Par23" w:history="1">
        <w:r>
          <w:rPr>
            <w:rFonts w:ascii="Calibri" w:hAnsi="Calibri" w:cs="Calibri"/>
            <w:color w:val="0000FF"/>
          </w:rPr>
          <w:t>обзор</w:t>
        </w:r>
      </w:hyperlink>
      <w:r>
        <w:rPr>
          <w:rFonts w:ascii="Calibri" w:hAnsi="Calibri" w:cs="Calibri"/>
        </w:rPr>
        <w:t xml:space="preserve"> решений контрольных органов в сфере закупок (аналитический материал).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Р.Е.АРТЮХИН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>Приложение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письму Федерального казначейства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 N ___________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ОБЗОР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РЕШЕНИЙ КОНТРОЛЬНЫХ ОРГАНОВ В СФЕРЕ ЗАКУПОК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(АНАЛИТИЧЕСКИЙ МАТЕРИАЛ)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27"/>
      <w:bookmarkEnd w:id="3"/>
      <w:r>
        <w:rPr>
          <w:rFonts w:ascii="Calibri" w:hAnsi="Calibri" w:cs="Calibri"/>
        </w:rPr>
        <w:t>1. Об указании в проекте государственного контракта размера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штрафа за ненадлежащее исполнение сторонами обязательств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размера пени за каждый день просрочки исполнения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поставщиком (подрядчиком, исполнителем) обязательств,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предусмотренных</w:t>
      </w:r>
      <w:proofErr w:type="gramEnd"/>
      <w:r>
        <w:rPr>
          <w:rFonts w:ascii="Calibri" w:hAnsi="Calibri" w:cs="Calibri"/>
        </w:rPr>
        <w:t xml:space="preserve"> государственным контрактом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proofErr w:type="gramStart"/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25.11.2013 N 1063 (далее - Правила), установлены различные размеры штрафов в зависимости от цены государственного</w:t>
      </w:r>
      <w:proofErr w:type="gramEnd"/>
      <w:r>
        <w:rPr>
          <w:rFonts w:ascii="Calibri" w:hAnsi="Calibri" w:cs="Calibri"/>
        </w:rPr>
        <w:t xml:space="preserve"> контракта (далее - контракт), при этом цена контракта на момент подготовки проекта контракта, прикладываемого к извещению и документации о закупке, заказчику неизвестна.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На основании изложенного, надлежащим исполнением обязанности заказчика по установлению размеров неустойки целесообразно считать включение в проект контракта всех возможных значений размеров штрафа, предусмотренных </w:t>
      </w:r>
      <w:hyperlink r:id="rId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, для каждого порогового значения цены контракта, за исключением пороговых значений, превышающих начальную (максимальную) цену контракта, с указанием, что фиксированная сумма штрафа в соответствии с требованиями Положениями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</w:t>
      </w:r>
      <w:proofErr w:type="gramEnd"/>
      <w:r>
        <w:rPr>
          <w:rFonts w:ascii="Calibri" w:hAnsi="Calibri" w:cs="Calibri"/>
        </w:rPr>
        <w:t xml:space="preserve"> сфере закупок товаров, работ, услуг для обеспечения государственных и муниципальных нужд" (далее - Федеральный закон N 44-ФЗ) будет указана заказчиком при заполнении проекта контракта в зависимости от его окончательной цены.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примеру, ответственность заказчика в виде штрафа за ненадлежащее исполнение обязательств, предусмотренных контрактом, в проекте контракта может быть сформулирована следующим образом (при начальной (максимальной) цене контракта свыше ста миллионов рублей):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"Штраф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Контрактом, устанавливается в виде фиксированной суммы и составляет ________ рублей ___ копеек (указывается размер штрафа в зависимости от Цены Контракта: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2,5 процента от Цены Контракта в случае, если Цена Контракта не превышает 3 (трех) млн. рублей;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процента от Цены Контракта в случае, если Цена Контракта составляет от 3 (трех) млн. рублей до 50 (пятидесяти) млн. рублей;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1,5 процента от Цены Контракта в случае, если Цена Контракта составляет от 50 (пятидесяти) млн. рублей до 100 (ста) млн. рублей;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0,5 процента от Цены Контракта в случае, если Цена Контракта превышает 100 (сто) млн. рублей).".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необходимо прописывать в контрактах порядок расчета пени за просрочку исполнения поставщиком (подрядчиком, исполнителем) обязательств, предусмотренных контрактом, в строгом соответствии с Правилами (</w:t>
      </w:r>
      <w:hyperlink r:id="rId10" w:history="1">
        <w:r>
          <w:rPr>
            <w:rFonts w:ascii="Calibri" w:hAnsi="Calibri" w:cs="Calibri"/>
            <w:color w:val="0000FF"/>
          </w:rPr>
          <w:t>пункты 6</w:t>
        </w:r>
      </w:hyperlink>
      <w:r>
        <w:rPr>
          <w:rFonts w:ascii="Calibri" w:hAnsi="Calibri" w:cs="Calibri"/>
        </w:rPr>
        <w:t xml:space="preserve"> - </w:t>
      </w:r>
      <w:hyperlink r:id="rId11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). Ссылка на </w:t>
      </w:r>
      <w:hyperlink r:id="rId1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без приведения в проекте контракта соответствующего порядка расчета пени будет являться недостаточной и может повлечь привлечение заказчика к административной ответственности.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(Решение Федеральной антимонопольной службы от 04.02.2015 по делу К-88/15 о нарушении законодательства Российской Федерации о контрактной системе в сфере закупок).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2. Установленная в проекте контракта ответственность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поставщика (подрядчика, исполнителя) за просрочку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обязательств, предусмотренных контрактом, </w:t>
      </w:r>
      <w:proofErr w:type="gramStart"/>
      <w:r>
        <w:rPr>
          <w:rFonts w:ascii="Calibri" w:hAnsi="Calibri" w:cs="Calibri"/>
        </w:rPr>
        <w:t>должна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соответствовать Правилам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Положениями Правил (</w:t>
      </w:r>
      <w:hyperlink r:id="rId13" w:history="1">
        <w:r>
          <w:rPr>
            <w:rFonts w:ascii="Calibri" w:hAnsi="Calibri" w:cs="Calibri"/>
            <w:color w:val="0000FF"/>
          </w:rPr>
          <w:t>пункты 6</w:t>
        </w:r>
      </w:hyperlink>
      <w:r>
        <w:rPr>
          <w:rFonts w:ascii="Calibri" w:hAnsi="Calibri" w:cs="Calibri"/>
        </w:rPr>
        <w:t xml:space="preserve"> - </w:t>
      </w:r>
      <w:hyperlink r:id="rId1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 установлен порядок расчета размера пени, подлежащей уплате поставщиком (подрядчиком, исполнителем) за просрочку обязательств, предусмотренных контрактом, который в том числе регулирует порядок расчета ставки пени (</w:t>
      </w:r>
      <w:hyperlink r:id="rId15" w:history="1">
        <w:r>
          <w:rPr>
            <w:rFonts w:ascii="Calibri" w:hAnsi="Calibri" w:cs="Calibri"/>
            <w:color w:val="0000FF"/>
          </w:rPr>
          <w:t>пункты 7</w:t>
        </w:r>
      </w:hyperlink>
      <w:r>
        <w:rPr>
          <w:rFonts w:ascii="Calibri" w:hAnsi="Calibri" w:cs="Calibri"/>
        </w:rPr>
        <w:t xml:space="preserve"> - </w:t>
      </w:r>
      <w:hyperlink r:id="rId16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Правил),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размер ставки пени, подлежащей уплате поставщиком (подрядчиком, исполнителем) за просрочку обязательств, предусмотренных контрактом, не является фиксированным.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Таким образом, установление заказчиком в проекте контракта фиксированного размера пени для поставщика (подрядчика, исполнителя) (например, в размере 1/300 действующей на день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подрядчиком) будет являться нарушением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 и </w:t>
      </w:r>
      <w:hyperlink r:id="rId18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(Решение Федеральной антимонопольной службы от 28.01.2015</w:t>
      </w:r>
      <w:proofErr w:type="gramEnd"/>
      <w:r>
        <w:rPr>
          <w:rFonts w:ascii="Calibri" w:hAnsi="Calibri" w:cs="Calibri"/>
        </w:rPr>
        <w:t xml:space="preserve"> по делу К-66/15 о нарушении законодательства Российской Федерации о контрактной системе в сфере закупок).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этой связи, заказчиком в проекте контракта, прилагаемом к извещению (документации) о закупке, размер пени за каждый день просрочки исполнения поставщиком (подрядчиком, исполнителем) обязательства, предусмотренного контрактом, должен устанавливаться в </w:t>
      </w:r>
      <w:r>
        <w:rPr>
          <w:rFonts w:ascii="Calibri" w:hAnsi="Calibri" w:cs="Calibri"/>
        </w:rPr>
        <w:lastRenderedPageBreak/>
        <w:t xml:space="preserve">соответствии с требованиями </w:t>
      </w:r>
      <w:hyperlink r:id="rId19" w:history="1">
        <w:r>
          <w:rPr>
            <w:rFonts w:ascii="Calibri" w:hAnsi="Calibri" w:cs="Calibri"/>
            <w:color w:val="0000FF"/>
          </w:rPr>
          <w:t>пунктов 6</w:t>
        </w:r>
      </w:hyperlink>
      <w:r>
        <w:rPr>
          <w:rFonts w:ascii="Calibri" w:hAnsi="Calibri" w:cs="Calibri"/>
        </w:rPr>
        <w:t xml:space="preserve"> - </w:t>
      </w:r>
      <w:hyperlink r:id="rId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Правил.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3"/>
      <w:bookmarkEnd w:id="5"/>
      <w:r>
        <w:rPr>
          <w:rFonts w:ascii="Calibri" w:hAnsi="Calibri" w:cs="Calibri"/>
        </w:rPr>
        <w:t>3. Срок действия государственного контракта должен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формироваться с учетом сроков поставки товаров, выполнения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 и оказания услуг, а также сроков выполнения иных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обязательств по контракту (применительно к контрактам,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заключаемым по итогам проведения электронных аукционов)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 учетом проведенного анализа решений Федеральной антимонопольной службы, при установлении в проекте контракта сроков его действия необходимо принимать во внимание предусмотренные извещением, документацией о закупке сроки поставки товаров, завершения работ и оказания услуг, а также сроки выполнения иных обязательств по контракту (приемки и оплаты товаров, работ, услуг, а также выполнения гарантийных обязательств).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Установление сроков действия контракта, не соответствующих срокам исполнения обязательств по контракту (например, несоразмерно увеличивающих срок действия контракта по отношению к срокам выполнения обязательств по контракту с учетом обязательств по приемке и оплате товаров, работ, услуг, а также выполнению гарантийных обязательств), может быть признано нарушением законодательства о контрактной системе в сфере закупок (Решение Федеральной антимонопольной службы от 02.02.2015 по делу К-79</w:t>
      </w:r>
      <w:proofErr w:type="gramEnd"/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>15 о нарушении законодательства Российской Федерации о контрактной системе в сфере закупок).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Возможным вариантом установления сроков действия контракта может являться </w:t>
      </w:r>
      <w:proofErr w:type="gramStart"/>
      <w:r>
        <w:rPr>
          <w:rFonts w:ascii="Calibri" w:hAnsi="Calibri" w:cs="Calibri"/>
        </w:rPr>
        <w:t>следующий</w:t>
      </w:r>
      <w:proofErr w:type="gramEnd"/>
      <w:r>
        <w:rPr>
          <w:rFonts w:ascii="Calibri" w:hAnsi="Calibri" w:cs="Calibri"/>
        </w:rPr>
        <w:t xml:space="preserve"> (применительно к контрактам, заключаемым по итогам проведения электронных аукционов) &lt;1&gt;: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Приведенная формулировка может использоваться до ввода в эксплуатацию единой информационной системы в сфере закупок.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"Настоящий Контракт вступает в силу с момента его заключения, определенного в соответствии с </w:t>
      </w:r>
      <w:hyperlink r:id="rId21" w:history="1">
        <w:r>
          <w:rPr>
            <w:rFonts w:ascii="Calibri" w:hAnsi="Calibri" w:cs="Calibri"/>
            <w:color w:val="0000FF"/>
          </w:rPr>
          <w:t>частью 8 статьи 70</w:t>
        </w:r>
      </w:hyperlink>
      <w:r>
        <w:rPr>
          <w:rFonts w:ascii="Calibri" w:hAnsi="Calibri" w:cs="Calibri"/>
        </w:rPr>
        <w:t xml:space="preserve"> Федерального закона с учетом </w:t>
      </w:r>
      <w:hyperlink r:id="rId22" w:history="1">
        <w:r>
          <w:rPr>
            <w:rFonts w:ascii="Calibri" w:hAnsi="Calibri" w:cs="Calibri"/>
            <w:color w:val="0000FF"/>
          </w:rPr>
          <w:t>части 10 статьи 112</w:t>
        </w:r>
      </w:hyperlink>
      <w:r>
        <w:rPr>
          <w:rFonts w:ascii="Calibri" w:hAnsi="Calibri" w:cs="Calibri"/>
        </w:rPr>
        <w:t xml:space="preserve"> Федерального закона, и действует до даты надлежащего выполнения Сторонами всех обязательств по настоящему Контракту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7"/>
      <w:bookmarkEnd w:id="6"/>
      <w:r>
        <w:rPr>
          <w:rFonts w:ascii="Calibri" w:hAnsi="Calibri" w:cs="Calibri"/>
        </w:rPr>
        <w:t>4. Сроки поставки товаров, выполнения работ, оказания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услуг, указываемые в извещении, документации о закупке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контракте</w:t>
      </w:r>
      <w:proofErr w:type="gramEnd"/>
      <w:r>
        <w:rPr>
          <w:rFonts w:ascii="Calibri" w:hAnsi="Calibri" w:cs="Calibri"/>
        </w:rPr>
        <w:t>, должны прописываться с учетом сроков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проведения процедур определения поставщика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(подрядчика, исполнителя)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23" w:history="1">
        <w:r>
          <w:rPr>
            <w:rFonts w:ascii="Calibri" w:hAnsi="Calibri" w:cs="Calibri"/>
            <w:color w:val="0000FF"/>
          </w:rPr>
          <w:t>части 1 статьи 34</w:t>
        </w:r>
      </w:hyperlink>
      <w:r>
        <w:rPr>
          <w:rFonts w:ascii="Calibri" w:hAnsi="Calibri" w:cs="Calibri"/>
        </w:rPr>
        <w:t xml:space="preserve"> Федерального закона N 44-ФЗ 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24" w:history="1">
        <w:r>
          <w:rPr>
            <w:rFonts w:ascii="Calibri" w:hAnsi="Calibri" w:cs="Calibri"/>
            <w:color w:val="0000FF"/>
          </w:rPr>
          <w:t>частью 2 статьи 34</w:t>
        </w:r>
      </w:hyperlink>
      <w:r>
        <w:rPr>
          <w:rFonts w:ascii="Calibri" w:hAnsi="Calibri" w:cs="Calibri"/>
        </w:rPr>
        <w:t xml:space="preserve"> Федерального закона N 44-ФЗ при заключении и исполнении контракта изменение его условий не допускается, за исключением случаев, предусмотренных указанной </w:t>
      </w:r>
      <w:hyperlink r:id="rId25" w:history="1">
        <w:r>
          <w:rPr>
            <w:rFonts w:ascii="Calibri" w:hAnsi="Calibri" w:cs="Calibri"/>
            <w:color w:val="0000FF"/>
          </w:rPr>
          <w:t>статьей</w:t>
        </w:r>
      </w:hyperlink>
      <w:r>
        <w:rPr>
          <w:rFonts w:ascii="Calibri" w:hAnsi="Calibri" w:cs="Calibri"/>
        </w:rPr>
        <w:t xml:space="preserve"> и </w:t>
      </w:r>
      <w:hyperlink r:id="rId26" w:history="1">
        <w:r>
          <w:rPr>
            <w:rFonts w:ascii="Calibri" w:hAnsi="Calibri" w:cs="Calibri"/>
            <w:color w:val="0000FF"/>
          </w:rPr>
          <w:t>статьей 95</w:t>
        </w:r>
      </w:hyperlink>
      <w:r>
        <w:rPr>
          <w:rFonts w:ascii="Calibri" w:hAnsi="Calibri" w:cs="Calibri"/>
        </w:rPr>
        <w:t xml:space="preserve"> Федерального закона N 44-ФЗ. При этом положениями </w:t>
      </w:r>
      <w:hyperlink r:id="rId27" w:history="1">
        <w:r>
          <w:rPr>
            <w:rFonts w:ascii="Calibri" w:hAnsi="Calibri" w:cs="Calibri"/>
            <w:color w:val="0000FF"/>
          </w:rPr>
          <w:t>статьи 95</w:t>
        </w:r>
      </w:hyperlink>
      <w:r>
        <w:rPr>
          <w:rFonts w:ascii="Calibri" w:hAnsi="Calibri" w:cs="Calibri"/>
        </w:rPr>
        <w:t xml:space="preserve"> Федерального закона N 44-ФЗ не предусмотрена возможность внесения в контракт изменений в части срока действия контракта и срока исполнения обязательств по контракту при его заключении, даже если к моменту заключения контракта указанные сроки уже истекли.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этой связи, заказчику целесообразно устанавливать в извещении и документации о закупке сроки выполнения поставщиком (подрядчиком, исполнителем) обязательств по контракту, исчисляемые со дня заключения соответствующего контракта.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необходимости установления сроков поставки товаров, выполнения работ и оказания услуг путем указания на конкретные даты, соответствующие сроки должны быть дополнительно просчитаны заказчиком с учетом сроков проведения процедур определения поставщика </w:t>
      </w:r>
      <w:r>
        <w:rPr>
          <w:rFonts w:ascii="Calibri" w:hAnsi="Calibri" w:cs="Calibri"/>
        </w:rPr>
        <w:lastRenderedPageBreak/>
        <w:t>(подрядчика, исполнителя).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Установление заказчиком в извещении и документации о закупке сроков поставки товаров, выполнения работ и оказания услуг без учета сроков проведения процедур определения поставщика (подрядчика, исполнителя) может повлечь невозможность заключения и исполнения контракта на условиях, установленных извещением и документацией о закупке, и, как следствие, аннулирование закупки контрольным органом (Решение Федеральной антимонопольной службы от 29.01.2015 по делу К-69/15 о нарушении законодательства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Российской Федерации о контрактной системе в сфере закупок).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9"/>
      <w:bookmarkEnd w:id="7"/>
      <w:r>
        <w:rPr>
          <w:rFonts w:ascii="Calibri" w:hAnsi="Calibri" w:cs="Calibri"/>
        </w:rPr>
        <w:t>5. В контракте должен быть прописан порядок оплаты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поставленные товары, выполненные работы и оказанные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четко и последовательно, без возможности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вмешательства в хозяйственную деятельность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участника закупки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Установление заказчиком в проекте контракта, прилагаемом к извещению (документации) о закупке, порядка оплаты без указания конкретного размера аванса, а также установление не предусмотренных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требований к целям расходования аванса &lt;1&gt;, может быть признано нарушением законодательства о контрактной системе в сфере закупок (Решение Федеральной антимонопольной службы от 28.01.2015 по делу К-67/15 о нарушении законодательства Российской Федерации о</w:t>
      </w:r>
      <w:proofErr w:type="gramEnd"/>
      <w:r>
        <w:rPr>
          <w:rFonts w:ascii="Calibri" w:hAnsi="Calibri" w:cs="Calibri"/>
        </w:rPr>
        <w:t xml:space="preserve"> контрактной системе в сфере закупок).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 xml:space="preserve">а исключением случаев, предусмотренных </w:t>
      </w:r>
      <w:hyperlink r:id="rId29" w:history="1">
        <w:r>
          <w:rPr>
            <w:rFonts w:ascii="Calibri" w:hAnsi="Calibri" w:cs="Calibri"/>
            <w:color w:val="0000FF"/>
          </w:rPr>
          <w:t>статьей 5</w:t>
        </w:r>
      </w:hyperlink>
      <w:r>
        <w:rPr>
          <w:rFonts w:ascii="Calibri" w:hAnsi="Calibri" w:cs="Calibri"/>
        </w:rPr>
        <w:t xml:space="preserve"> Федерального закона от 01.12.2014 N 384-ФЗ "О федеральном бюджете на 2015 год и на плановый период 2016 и 2017 годов".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этой связи, заказчиком в контракте согласно </w:t>
      </w:r>
      <w:hyperlink r:id="rId30" w:history="1">
        <w:r>
          <w:rPr>
            <w:rFonts w:ascii="Calibri" w:hAnsi="Calibri" w:cs="Calibri"/>
            <w:color w:val="0000FF"/>
          </w:rPr>
          <w:t>части 13 статьи 34</w:t>
        </w:r>
      </w:hyperlink>
      <w:r>
        <w:rPr>
          <w:rFonts w:ascii="Calibri" w:hAnsi="Calibri" w:cs="Calibri"/>
        </w:rPr>
        <w:t xml:space="preserve"> Федерального закона N 44-ФЗ должен указываться конкретный размер авансовых платежей с учетом требований законодательства, а также порядок их выплаты без установления дополнительных требований к целям расходования полученного аванса, если иное не предусмотрено законодательством.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91"/>
      <w:bookmarkEnd w:id="8"/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Требование об обязательном соответствии представляемой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качестве обеспечения исполнения контракта </w:t>
      </w:r>
      <w:proofErr w:type="gramStart"/>
      <w:r>
        <w:rPr>
          <w:rFonts w:ascii="Calibri" w:hAnsi="Calibri" w:cs="Calibri"/>
        </w:rPr>
        <w:t>банковской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гарантии установленной в документации о закупке форме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является неправомерным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31" w:history="1">
        <w:r>
          <w:rPr>
            <w:rFonts w:ascii="Calibri" w:hAnsi="Calibri" w:cs="Calibri"/>
            <w:color w:val="0000FF"/>
          </w:rPr>
          <w:t>частью 6 статьи 45</w:t>
        </w:r>
      </w:hyperlink>
      <w:r>
        <w:rPr>
          <w:rFonts w:ascii="Calibri" w:hAnsi="Calibri" w:cs="Calibri"/>
        </w:rPr>
        <w:t xml:space="preserve"> Федерального закон N 44-ФЗ основанием для отказа в принятии банковской гарантии заказчиком является: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отсутствие информации о банковской гарантии в предусмотренных указанной </w:t>
      </w:r>
      <w:hyperlink r:id="rId32" w:history="1">
        <w:r>
          <w:rPr>
            <w:rFonts w:ascii="Calibri" w:hAnsi="Calibri" w:cs="Calibri"/>
            <w:color w:val="0000FF"/>
          </w:rPr>
          <w:t>статьей</w:t>
        </w:r>
      </w:hyperlink>
      <w:r>
        <w:rPr>
          <w:rFonts w:ascii="Calibri" w:hAnsi="Calibri" w:cs="Calibri"/>
        </w:rPr>
        <w:t xml:space="preserve"> реестрах банковских гарантий;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несоответствие банковской гарантии условиям, указанным в </w:t>
      </w:r>
      <w:hyperlink r:id="rId33" w:history="1">
        <w:r>
          <w:rPr>
            <w:rFonts w:ascii="Calibri" w:hAnsi="Calibri" w:cs="Calibri"/>
            <w:color w:val="0000FF"/>
          </w:rPr>
          <w:t>частях 2</w:t>
        </w:r>
      </w:hyperlink>
      <w:r>
        <w:rPr>
          <w:rFonts w:ascii="Calibri" w:hAnsi="Calibri" w:cs="Calibri"/>
        </w:rPr>
        <w:t xml:space="preserve"> и </w:t>
      </w:r>
      <w:hyperlink r:id="rId3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данной статьи;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несоответствие банковской гарантии требованиям, содержащимся в извещении об осуществлении закупки, приглашении принять участие в определении поставщика (подрядчика, исполнителя), документации о закупке, проекте контракта, который заключается с единственным поставщиком (подрядчиком, исполнителем).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Приведенный перечень оснований является исчерпывающим,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отказ заказчика в принятии банковской гарантии по причине ее несоответствия установленной в документации о закупке форме (образцу) является не предусмотренным Федеральным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основанием для непринятия банковской гарантии и может быть признан нарушением законодательства о контрактной системе в сфере закупок (Решение Федеральной антимонопольной службы от 28.01.2015 по делу К-67/15 о нарушении законодательства Российской Федерации о контрактной системе в сфере закупок).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02"/>
      <w:bookmarkEnd w:id="9"/>
      <w:r>
        <w:rPr>
          <w:rFonts w:ascii="Calibri" w:hAnsi="Calibri" w:cs="Calibri"/>
        </w:rPr>
        <w:t>7. При установлении требований о привлечении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исполнению контракта субподрядчиков из числа субъектов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малого предпринимательства, социально </w:t>
      </w:r>
      <w:proofErr w:type="gramStart"/>
      <w:r>
        <w:rPr>
          <w:rFonts w:ascii="Calibri" w:hAnsi="Calibri" w:cs="Calibri"/>
        </w:rPr>
        <w:t>ориентированных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некоммерческих организаций, такие требования должны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быть единообразно прописаны</w:t>
      </w:r>
      <w:proofErr w:type="gramEnd"/>
      <w:r>
        <w:rPr>
          <w:rFonts w:ascii="Calibri" w:hAnsi="Calibri" w:cs="Calibri"/>
        </w:rPr>
        <w:t xml:space="preserve"> в извещении, документации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закупке и контракте, прилагаемом к извещению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(документации) о закупке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36" w:history="1">
        <w:r>
          <w:rPr>
            <w:rFonts w:ascii="Calibri" w:hAnsi="Calibri" w:cs="Calibri"/>
            <w:color w:val="0000FF"/>
          </w:rPr>
          <w:t>частью 5 статьи 30</w:t>
        </w:r>
      </w:hyperlink>
      <w:r>
        <w:rPr>
          <w:rFonts w:ascii="Calibri" w:hAnsi="Calibri" w:cs="Calibri"/>
        </w:rPr>
        <w:t xml:space="preserve"> Федерального закона N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37" w:history="1">
        <w:r>
          <w:rPr>
            <w:rFonts w:ascii="Calibri" w:hAnsi="Calibri" w:cs="Calibri"/>
            <w:color w:val="0000FF"/>
          </w:rPr>
          <w:t>части 6 статьи 30</w:t>
        </w:r>
      </w:hyperlink>
      <w:r>
        <w:rPr>
          <w:rFonts w:ascii="Calibri" w:hAnsi="Calibri" w:cs="Calibri"/>
        </w:rPr>
        <w:t xml:space="preserve"> Федерального закона N 44-ФЗ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в случае, предусмотренном </w:t>
      </w:r>
      <w:hyperlink r:id="rId38" w:history="1">
        <w:r>
          <w:rPr>
            <w:rFonts w:ascii="Calibri" w:hAnsi="Calibri" w:cs="Calibri"/>
            <w:color w:val="0000FF"/>
          </w:rPr>
          <w:t>частью 5 статьи 30</w:t>
        </w:r>
      </w:hyperlink>
      <w:r>
        <w:rPr>
          <w:rFonts w:ascii="Calibri" w:hAnsi="Calibri" w:cs="Calibri"/>
        </w:rPr>
        <w:t xml:space="preserve"> Федерального закона N 44-ФЗ, включается в контракты с указанием объема такого привлечения, установленного в виде процента от цены контракта.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установленные заказчиком положения в извещении, документации о закупке и проекте контракта не должны противоречить друг другу. Кроме того, установленное заказчиком в проекте контракта требование об обязательном привлечении субъектов малого предпринимательства, социально ориентированных некоммерческих организаций должно в обязательном порядке устанавливаться также в извещении об осуществлении закупки.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(Решение Федеральной антимонопольной службы от 10.03.2015 по делу К-167/15 о нарушении законодательства Российской Федерации о контрактной системе в сфере закупок).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15"/>
      <w:bookmarkEnd w:id="10"/>
      <w:r>
        <w:rPr>
          <w:rFonts w:ascii="Calibri" w:hAnsi="Calibri" w:cs="Calibri"/>
        </w:rPr>
        <w:t>8. Установление в проекте контракта возможности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продления срока выполнения работ, а также увеличения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исполнения контракта в период исполнения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контракта является неправомерным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39" w:history="1">
        <w:r>
          <w:rPr>
            <w:rFonts w:ascii="Calibri" w:hAnsi="Calibri" w:cs="Calibri"/>
            <w:color w:val="0000FF"/>
          </w:rPr>
          <w:t>части 2 статьи 34</w:t>
        </w:r>
      </w:hyperlink>
      <w:r>
        <w:rPr>
          <w:rFonts w:ascii="Calibri" w:hAnsi="Calibri" w:cs="Calibri"/>
        </w:rPr>
        <w:t xml:space="preserve"> Федерального закона N 44-ФЗ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  <w:proofErr w:type="gramEnd"/>
      <w:r>
        <w:rPr>
          <w:rFonts w:ascii="Calibri" w:hAnsi="Calibri" w:cs="Calibri"/>
        </w:rPr>
        <w:t xml:space="preserve"> При заключении и исполнении контракта изменение его условий не допускается, за исключением случаев, предусмотренных </w:t>
      </w:r>
      <w:hyperlink r:id="rId40" w:history="1">
        <w:r>
          <w:rPr>
            <w:rFonts w:ascii="Calibri" w:hAnsi="Calibri" w:cs="Calibri"/>
            <w:color w:val="0000FF"/>
          </w:rPr>
          <w:t>статьей 34</w:t>
        </w:r>
      </w:hyperlink>
      <w:r>
        <w:rPr>
          <w:rFonts w:ascii="Calibri" w:hAnsi="Calibri" w:cs="Calibri"/>
        </w:rPr>
        <w:t xml:space="preserve"> Федерального закона N 44-ФЗ и </w:t>
      </w:r>
      <w:hyperlink r:id="rId41" w:history="1">
        <w:r>
          <w:rPr>
            <w:rFonts w:ascii="Calibri" w:hAnsi="Calibri" w:cs="Calibri"/>
            <w:color w:val="0000FF"/>
          </w:rPr>
          <w:t>статьей 95</w:t>
        </w:r>
      </w:hyperlink>
      <w:r>
        <w:rPr>
          <w:rFonts w:ascii="Calibri" w:hAnsi="Calibri" w:cs="Calibri"/>
        </w:rPr>
        <w:t xml:space="preserve"> Федерального закона N 44-ФЗ.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этой связи, установление в проекте контракта возможности продления сроков выполнения работ, а также увеличения обеспечения исполнения контракта в период исполнения контракта, будут являться нарушением </w:t>
      </w:r>
      <w:hyperlink r:id="rId42" w:history="1">
        <w:r>
          <w:rPr>
            <w:rFonts w:ascii="Calibri" w:hAnsi="Calibri" w:cs="Calibri"/>
            <w:color w:val="0000FF"/>
          </w:rPr>
          <w:t>части 2 статьи 34</w:t>
        </w:r>
      </w:hyperlink>
      <w:r>
        <w:rPr>
          <w:rFonts w:ascii="Calibri" w:hAnsi="Calibri" w:cs="Calibri"/>
        </w:rPr>
        <w:t xml:space="preserve"> Федерального закона N 44-ФЗ (Решение Федеральной антимонопольной службы от 12.02.2015 по делу К-122/15 о нарушении законодательства Российской Федерации о контрактной системе в сфере закупок).</w:t>
      </w:r>
      <w:proofErr w:type="gramEnd"/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с учетом складывающейся административной практики, при установлении в проекте контракта (контракте) условий изменения контракта, такие условия должны указываться заказчиком в строгом соответствии со </w:t>
      </w:r>
      <w:hyperlink r:id="rId43" w:history="1">
        <w:r>
          <w:rPr>
            <w:rFonts w:ascii="Calibri" w:hAnsi="Calibri" w:cs="Calibri"/>
            <w:color w:val="0000FF"/>
          </w:rPr>
          <w:t>статьями 34</w:t>
        </w:r>
      </w:hyperlink>
      <w:r>
        <w:rPr>
          <w:rFonts w:ascii="Calibri" w:hAnsi="Calibri" w:cs="Calibri"/>
        </w:rPr>
        <w:t xml:space="preserve">, </w:t>
      </w:r>
      <w:hyperlink r:id="rId44" w:history="1">
        <w:r>
          <w:rPr>
            <w:rFonts w:ascii="Calibri" w:hAnsi="Calibri" w:cs="Calibri"/>
            <w:color w:val="0000FF"/>
          </w:rPr>
          <w:t>95</w:t>
        </w:r>
      </w:hyperlink>
      <w:r>
        <w:rPr>
          <w:rFonts w:ascii="Calibri" w:hAnsi="Calibri" w:cs="Calibri"/>
        </w:rPr>
        <w:t xml:space="preserve"> Федерального закона N 44-ФЗ.</w:t>
      </w: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043" w:rsidRDefault="0004404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32ADD" w:rsidRDefault="00532ADD">
      <w:bookmarkStart w:id="11" w:name="_GoBack"/>
      <w:bookmarkEnd w:id="11"/>
    </w:p>
    <w:sectPr w:rsidR="00532ADD" w:rsidSect="0079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43"/>
    <w:rsid w:val="00044043"/>
    <w:rsid w:val="005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C652331EBDDA8FE4B331354E10967A5345B44A24940872E3D5D76ED0466AEC12111EB5CC13502Q16CF" TargetMode="External"/><Relationship Id="rId13" Type="http://schemas.openxmlformats.org/officeDocument/2006/relationships/hyperlink" Target="consultantplus://offline/ref=3DAC652331EBDDA8FE4B331354E10967A5345B44A24940872E3D5D76ED0466AEC12111EB5CC13500Q166F" TargetMode="External"/><Relationship Id="rId18" Type="http://schemas.openxmlformats.org/officeDocument/2006/relationships/hyperlink" Target="consultantplus://offline/ref=3DAC652331EBDDA8FE4B331354E10967A5345B44A24940872E3D5D76ED0466AEC12111EB5CC13502Q16CF" TargetMode="External"/><Relationship Id="rId26" Type="http://schemas.openxmlformats.org/officeDocument/2006/relationships/hyperlink" Target="consultantplus://offline/ref=3DAC652331EBDDA8FE4B331354E10967A536584BA44C40872E3D5D76ED0466AEC12111EB5CC03602Q16CF" TargetMode="External"/><Relationship Id="rId39" Type="http://schemas.openxmlformats.org/officeDocument/2006/relationships/hyperlink" Target="consultantplus://offline/ref=3DAC652331EBDDA8FE4B331354E10967A536584BA44C40872E3D5D76ED0466AEC12111EB5CC13102Q16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AC652331EBDDA8FE4B331354E10967A536584BA44C40872E3D5D76ED0466AEC12111EB5CC13C06Q16DF" TargetMode="External"/><Relationship Id="rId34" Type="http://schemas.openxmlformats.org/officeDocument/2006/relationships/hyperlink" Target="consultantplus://offline/ref=3DAC652331EBDDA8FE4B331354E10967A536584BA44C40872E3D5D76ED0466AEC12111EB5CC13007Q16CF" TargetMode="External"/><Relationship Id="rId42" Type="http://schemas.openxmlformats.org/officeDocument/2006/relationships/hyperlink" Target="consultantplus://offline/ref=3DAC652331EBDDA8FE4B331354E10967A536584BA44C40872E3D5D76ED0466AEC12111EB5CC13102Q167F" TargetMode="External"/><Relationship Id="rId7" Type="http://schemas.openxmlformats.org/officeDocument/2006/relationships/hyperlink" Target="consultantplus://offline/ref=3DAC652331EBDDA8FE4B331354E10967A5345B44A24940872E3D5D76ED0466AEC12111EB5CC13502Q16CF" TargetMode="External"/><Relationship Id="rId12" Type="http://schemas.openxmlformats.org/officeDocument/2006/relationships/hyperlink" Target="consultantplus://offline/ref=3DAC652331EBDDA8FE4B331354E10967A5345B44A24940872E3D5D76ED0466AEC12111EB5CC13502Q16CF" TargetMode="External"/><Relationship Id="rId17" Type="http://schemas.openxmlformats.org/officeDocument/2006/relationships/hyperlink" Target="consultantplus://offline/ref=3DAC652331EBDDA8FE4B331354E10967A536584BA44C40872E3D5D76EDQ064F" TargetMode="External"/><Relationship Id="rId25" Type="http://schemas.openxmlformats.org/officeDocument/2006/relationships/hyperlink" Target="consultantplus://offline/ref=3DAC652331EBDDA8FE4B331354E10967A536584BA44C40872E3D5D76ED0466AEC12111EB5CC13102Q165F" TargetMode="External"/><Relationship Id="rId33" Type="http://schemas.openxmlformats.org/officeDocument/2006/relationships/hyperlink" Target="consultantplus://offline/ref=3DAC652331EBDDA8FE4B331354E10967A536584BA44C40872E3D5D76ED0466AEC12111EB5CC13007Q164F" TargetMode="External"/><Relationship Id="rId38" Type="http://schemas.openxmlformats.org/officeDocument/2006/relationships/hyperlink" Target="consultantplus://offline/ref=3DAC652331EBDDA8FE4B331354E10967A536584BA44C40872E3D5D76ED0466AEC12111EB5CC03D04Q16CF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AC652331EBDDA8FE4B331354E10967A5345B44A24940872E3D5D76ED0466AEC12111EB5CC13501Q161F" TargetMode="External"/><Relationship Id="rId20" Type="http://schemas.openxmlformats.org/officeDocument/2006/relationships/hyperlink" Target="consultantplus://offline/ref=3DAC652331EBDDA8FE4B331354E10967A5345B44A24940872E3D5D76ED0466AEC12111EB5CC13501Q161F" TargetMode="External"/><Relationship Id="rId29" Type="http://schemas.openxmlformats.org/officeDocument/2006/relationships/hyperlink" Target="consultantplus://offline/ref=3DAC652331EBDDA8FE4B331354E10967A5365749A04B40872E3D5D76ED0466AEC12111EB5CC13506Q167F" TargetMode="External"/><Relationship Id="rId41" Type="http://schemas.openxmlformats.org/officeDocument/2006/relationships/hyperlink" Target="consultantplus://offline/ref=3DAC652331EBDDA8FE4B331354E10967A536584BA44C40872E3D5D76ED0466AEC12111EB5CC03602Q16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C652331EBDDA8FE4B331354E10967A536584BA44C40872E3D5D76EDQ064F" TargetMode="External"/><Relationship Id="rId11" Type="http://schemas.openxmlformats.org/officeDocument/2006/relationships/hyperlink" Target="consultantplus://offline/ref=3DAC652331EBDDA8FE4B331354E10967A5345B44A24940872E3D5D76ED0466AEC12111EB5CC13501Q161F" TargetMode="External"/><Relationship Id="rId24" Type="http://schemas.openxmlformats.org/officeDocument/2006/relationships/hyperlink" Target="consultantplus://offline/ref=3DAC652331EBDDA8FE4B331354E10967A536584BA44C40872E3D5D76ED0466AEC12111EB5CC13102Q167F" TargetMode="External"/><Relationship Id="rId32" Type="http://schemas.openxmlformats.org/officeDocument/2006/relationships/hyperlink" Target="consultantplus://offline/ref=3DAC652331EBDDA8FE4B331354E10967A536584BA44C40872E3D5D76ED0466AEC12111EFQ56AF" TargetMode="External"/><Relationship Id="rId37" Type="http://schemas.openxmlformats.org/officeDocument/2006/relationships/hyperlink" Target="consultantplus://offline/ref=3DAC652331EBDDA8FE4B331354E10967A536584BA44C40872E3D5D76ED0466AEC12111EB5CC03D05Q165F" TargetMode="External"/><Relationship Id="rId40" Type="http://schemas.openxmlformats.org/officeDocument/2006/relationships/hyperlink" Target="consultantplus://offline/ref=3DAC652331EBDDA8FE4B331354E10967A536584BA44C40872E3D5D76ED0466AEC12111EB5CC13102Q165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DAC652331EBDDA8FE4B331354E10967A5345B44A24940872E3D5D76ED0466AEC12111EB5CC13500Q16CF" TargetMode="External"/><Relationship Id="rId23" Type="http://schemas.openxmlformats.org/officeDocument/2006/relationships/hyperlink" Target="consultantplus://offline/ref=3DAC652331EBDDA8FE4B331354E10967A536584BA44C40872E3D5D76ED0466AEC12111EB5CC13102Q164F" TargetMode="External"/><Relationship Id="rId28" Type="http://schemas.openxmlformats.org/officeDocument/2006/relationships/hyperlink" Target="consultantplus://offline/ref=3DAC652331EBDDA8FE4B331354E10967A536584BA44C40872E3D5D76EDQ064F" TargetMode="External"/><Relationship Id="rId36" Type="http://schemas.openxmlformats.org/officeDocument/2006/relationships/hyperlink" Target="consultantplus://offline/ref=3DAC652331EBDDA8FE4B331354E10967A536584BA44C40872E3D5D76ED0466AEC12111EB5CC03D04Q16CF" TargetMode="External"/><Relationship Id="rId10" Type="http://schemas.openxmlformats.org/officeDocument/2006/relationships/hyperlink" Target="consultantplus://offline/ref=3DAC652331EBDDA8FE4B331354E10967A5345B44A24940872E3D5D76ED0466AEC12111EB5CC13500Q166F" TargetMode="External"/><Relationship Id="rId19" Type="http://schemas.openxmlformats.org/officeDocument/2006/relationships/hyperlink" Target="consultantplus://offline/ref=3DAC652331EBDDA8FE4B331354E10967A5345B44A24940872E3D5D76ED0466AEC12111EB5CC13500Q166F" TargetMode="External"/><Relationship Id="rId31" Type="http://schemas.openxmlformats.org/officeDocument/2006/relationships/hyperlink" Target="consultantplus://offline/ref=3DAC652331EBDDA8FE4B331354E10967A536584BA44C40872E3D5D76ED0466AEC12111EB5CC13004Q167F" TargetMode="External"/><Relationship Id="rId44" Type="http://schemas.openxmlformats.org/officeDocument/2006/relationships/hyperlink" Target="consultantplus://offline/ref=3DAC652331EBDDA8FE4B331354E10967A536584BA44C40872E3D5D76ED0466AEC12111EB5CC03602Q16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AC652331EBDDA8FE4B331354E10967A536584BA44C40872E3D5D76EDQ064F" TargetMode="External"/><Relationship Id="rId14" Type="http://schemas.openxmlformats.org/officeDocument/2006/relationships/hyperlink" Target="consultantplus://offline/ref=3DAC652331EBDDA8FE4B331354E10967A5345B44A24940872E3D5D76ED0466AEC12111EB5CC13501Q161F" TargetMode="External"/><Relationship Id="rId22" Type="http://schemas.openxmlformats.org/officeDocument/2006/relationships/hyperlink" Target="consultantplus://offline/ref=3DAC652331EBDDA8FE4B331354E10967A536584BA44C40872E3D5D76ED0466AEC12111EB5CC03D01Q162F" TargetMode="External"/><Relationship Id="rId27" Type="http://schemas.openxmlformats.org/officeDocument/2006/relationships/hyperlink" Target="consultantplus://offline/ref=3DAC652331EBDDA8FE4B331354E10967A536584BA44C40872E3D5D76ED0466AEC12111EB5CC03602Q16CF" TargetMode="External"/><Relationship Id="rId30" Type="http://schemas.openxmlformats.org/officeDocument/2006/relationships/hyperlink" Target="consultantplus://offline/ref=3DAC652331EBDDA8FE4B331354E10967A536584BA44C40872E3D5D76ED0466AEC12111EB5CC13103Q166F" TargetMode="External"/><Relationship Id="rId35" Type="http://schemas.openxmlformats.org/officeDocument/2006/relationships/hyperlink" Target="consultantplus://offline/ref=3DAC652331EBDDA8FE4B331354E10967A536584BA44C40872E3D5D76EDQ064F" TargetMode="External"/><Relationship Id="rId43" Type="http://schemas.openxmlformats.org/officeDocument/2006/relationships/hyperlink" Target="consultantplus://offline/ref=3DAC652331EBDDA8FE4B331354E10967A536584BA44C40872E3D5D76ED0466AEC12111EB5CC13102Q1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2015-05-28T05:58:00Z</dcterms:created>
  <dcterms:modified xsi:type="dcterms:W3CDTF">2015-05-28T05:59:00Z</dcterms:modified>
</cp:coreProperties>
</file>